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76"/>
        <w:tblW w:w="104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3091"/>
        <w:gridCol w:w="6530"/>
      </w:tblGrid>
      <w:tr w:rsidR="00BE6BA9" w:rsidRPr="00BE6BA9" w:rsidTr="00BE6BA9">
        <w:trPr>
          <w:trHeight w:val="32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 Covered</w:t>
            </w:r>
          </w:p>
        </w:tc>
      </w:tr>
      <w:tr w:rsidR="00BE6BA9" w:rsidRPr="00BE6BA9" w:rsidTr="00BE6BA9">
        <w:trPr>
          <w:trHeight w:val="665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 to Network Pharmacology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Concept of network pharmacology, single-target vs multi-target drugs, importance in modern drug discovery</w:t>
            </w:r>
          </w:p>
        </w:tc>
      </w:tr>
      <w:tr w:rsidR="00BE6BA9" w:rsidRPr="00BE6BA9" w:rsidTr="00BE6BA9">
        <w:trPr>
          <w:trHeight w:val="665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Disease Biology &amp; Systems Pharmacology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Disease mechanisms, signaling pathways, complex biological systems</w:t>
            </w:r>
          </w:p>
        </w:tc>
      </w:tr>
      <w:tr w:rsidR="00BE6BA9" w:rsidRPr="00BE6BA9" w:rsidTr="00BE6BA9">
        <w:trPr>
          <w:trHeight w:val="665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Drug–Target–Disease Relationships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Compound–target interactions, gene–disease associations, </w:t>
            </w:r>
            <w:proofErr w:type="spellStart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polypharmacology</w:t>
            </w:r>
            <w:proofErr w:type="spellEnd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principles</w:t>
            </w:r>
          </w:p>
        </w:tc>
      </w:tr>
      <w:tr w:rsidR="00BE6BA9" w:rsidRPr="00BE6BA9" w:rsidTr="00BE6BA9">
        <w:trPr>
          <w:trHeight w:val="665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Sources &amp; Databases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PubChem, </w:t>
            </w:r>
            <w:proofErr w:type="spellStart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DrugBank</w:t>
            </w:r>
            <w:proofErr w:type="spellEnd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ChEMBL</w:t>
            </w:r>
            <w:proofErr w:type="spellEnd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GeneCards</w:t>
            </w:r>
            <w:proofErr w:type="spellEnd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CTD, </w:t>
            </w:r>
            <w:proofErr w:type="spellStart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DisGeNET</w:t>
            </w:r>
            <w:proofErr w:type="spellEnd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UniProt</w:t>
            </w:r>
            <w:proofErr w:type="spellEnd"/>
          </w:p>
        </w:tc>
      </w:tr>
      <w:tr w:rsidR="00BE6BA9" w:rsidRPr="00BE6BA9" w:rsidTr="00BE6BA9">
        <w:trPr>
          <w:trHeight w:val="648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Identification &amp; Gene Mining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Disease gene collection, filtering strategies, relevance scoring</w:t>
            </w:r>
          </w:p>
        </w:tc>
      </w:tr>
      <w:tr w:rsidR="00BE6BA9" w:rsidRPr="00BE6BA9" w:rsidTr="00BE6BA9">
        <w:trPr>
          <w:trHeight w:val="665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Compound Target Prediction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silico</w:t>
            </w:r>
            <w:proofErr w:type="spellEnd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prediction approaches, </w:t>
            </w:r>
            <w:proofErr w:type="spellStart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SwissTargetPrediction</w:t>
            </w:r>
            <w:proofErr w:type="spellEnd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, STITCH</w:t>
            </w:r>
          </w:p>
        </w:tc>
      </w:tr>
      <w:tr w:rsidR="00BE6BA9" w:rsidRPr="00BE6BA9" w:rsidTr="00BE6BA9">
        <w:trPr>
          <w:trHeight w:val="989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Protein–Protein Interaction (PPI) Networks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PPI fundamentals, STRING database, confidence score interpretation</w:t>
            </w:r>
          </w:p>
        </w:tc>
      </w:tr>
      <w:tr w:rsidR="00BE6BA9" w:rsidRPr="00BE6BA9" w:rsidTr="00BE6BA9">
        <w:trPr>
          <w:trHeight w:val="665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Network Construction &amp; Integration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compound–target and disease–target networks</w:t>
            </w:r>
          </w:p>
        </w:tc>
        <w:bookmarkStart w:id="0" w:name="_GoBack"/>
        <w:bookmarkEnd w:id="0"/>
      </w:tr>
      <w:tr w:rsidR="00BE6BA9" w:rsidRPr="00BE6BA9" w:rsidTr="00BE6BA9">
        <w:trPr>
          <w:trHeight w:val="665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Network Visualization Techniques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Network layouts, node and edge attributes, </w:t>
            </w:r>
            <w:proofErr w:type="spellStart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Cytoscape</w:t>
            </w:r>
            <w:proofErr w:type="spellEnd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visualization</w:t>
            </w:r>
          </w:p>
        </w:tc>
      </w:tr>
      <w:tr w:rsidR="00BE6BA9" w:rsidRPr="00BE6BA9" w:rsidTr="00BE6BA9">
        <w:trPr>
          <w:trHeight w:val="665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Network Topological Analysis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Degree, </w:t>
            </w:r>
            <w:proofErr w:type="spellStart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betweenness</w:t>
            </w:r>
            <w:proofErr w:type="spellEnd"/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, closeness centrality, hub gene identification</w:t>
            </w:r>
          </w:p>
        </w:tc>
      </w:tr>
      <w:tr w:rsidR="00BE6BA9" w:rsidRPr="00BE6BA9" w:rsidTr="00BE6BA9">
        <w:trPr>
          <w:trHeight w:val="665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Functional Enrichment Analysis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Gene Ontology (GO) and KEGG pathway analysis</w:t>
            </w:r>
          </w:p>
        </w:tc>
      </w:tr>
      <w:tr w:rsidR="00BE6BA9" w:rsidRPr="00BE6BA9" w:rsidTr="00BE6BA9">
        <w:trPr>
          <w:trHeight w:val="648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Pathway Interpretation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Biological meaning of enriched pathways, disease relevance</w:t>
            </w:r>
          </w:p>
        </w:tc>
      </w:tr>
      <w:tr w:rsidR="00BE6BA9" w:rsidRPr="00BE6BA9" w:rsidTr="00BE6BA9">
        <w:trPr>
          <w:trHeight w:val="341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Prioritization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Selecting key genes and proteins for drug design studies</w:t>
            </w:r>
          </w:p>
        </w:tc>
      </w:tr>
      <w:tr w:rsidR="00BE6BA9" w:rsidRPr="00BE6BA9" w:rsidTr="00BE6BA9">
        <w:trPr>
          <w:trHeight w:val="665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Integration with Drug Design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Translating network results into molecular docking and screening</w:t>
            </w:r>
          </w:p>
        </w:tc>
      </w:tr>
      <w:tr w:rsidR="00BE6BA9" w:rsidRPr="00BE6BA9" w:rsidTr="00BE6BA9">
        <w:trPr>
          <w:trHeight w:val="648"/>
          <w:tblCellSpacing w:w="15" w:type="dxa"/>
        </w:trPr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Studies &amp; Biological Interpretation</w:t>
            </w:r>
          </w:p>
        </w:tc>
        <w:tc>
          <w:tcPr>
            <w:tcW w:w="0" w:type="auto"/>
            <w:vAlign w:val="center"/>
            <w:hideMark/>
          </w:tcPr>
          <w:p w:rsidR="00BE6BA9" w:rsidRPr="00BE6BA9" w:rsidRDefault="00BE6BA9" w:rsidP="00BE6B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eastAsia="Times New Roman" w:hAnsi="Times New Roman" w:cs="Times New Roman"/>
                <w:sz w:val="24"/>
                <w:szCs w:val="24"/>
              </w:rPr>
              <w:t>Network pharmacology applications in cancer, inflammation, infections</w:t>
            </w:r>
          </w:p>
        </w:tc>
      </w:tr>
    </w:tbl>
    <w:p w:rsidR="00FC0299" w:rsidRDefault="00FC0299"/>
    <w:sectPr w:rsidR="00FC0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A9"/>
    <w:rsid w:val="00BE6BA9"/>
    <w:rsid w:val="00FC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C0014-A477-4B9E-94FC-7ECBE16B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6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2026-01-14T09:24:00Z</dcterms:created>
  <dcterms:modified xsi:type="dcterms:W3CDTF">2026-01-14T09:27:00Z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6c05aafa-1df3-4a0b-ac46-38d80e0c33fd</vt:lpwstr>
  </property>
</Properties>
</file>